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827" w:rsidRPr="008D613B" w:rsidRDefault="008D613B" w:rsidP="008D613B">
      <w:pPr>
        <w:adjustRightInd w:val="0"/>
        <w:snapToGrid w:val="0"/>
        <w:spacing w:before="240" w:after="120" w:line="228" w:lineRule="auto"/>
        <w:ind w:left="2608"/>
        <w:jc w:val="both"/>
        <w:rPr>
          <w:rFonts w:ascii="Palatino Linotype" w:eastAsia="Times New Roman" w:hAnsi="Palatino Linotype" w:cs="Times New Roman"/>
          <w:snapToGrid w:val="0"/>
          <w:color w:val="000000"/>
          <w:sz w:val="18"/>
          <w:szCs w:val="18"/>
          <w:lang w:val="en-GB" w:bidi="en-US"/>
        </w:rPr>
      </w:pPr>
      <w:r w:rsidRPr="008D613B">
        <w:rPr>
          <w:rFonts w:ascii="Palatino Linotype" w:eastAsia="Times New Roman" w:hAnsi="Palatino Linotype" w:cs="Times New Roman"/>
          <w:b/>
          <w:snapToGrid w:val="0"/>
          <w:color w:val="000000"/>
          <w:sz w:val="18"/>
          <w:szCs w:val="18"/>
          <w:lang w:val="en-GB" w:bidi="en-US"/>
        </w:rPr>
        <w:t>Figure S1</w:t>
      </w:r>
      <w:r w:rsidRPr="008D613B">
        <w:rPr>
          <w:rFonts w:ascii="Palatino Linotype" w:eastAsia="Times New Roman" w:hAnsi="Palatino Linotype" w:cs="Times New Roman"/>
          <w:snapToGrid w:val="0"/>
          <w:color w:val="000000"/>
          <w:sz w:val="18"/>
          <w:szCs w:val="18"/>
          <w:lang w:val="en-GB" w:bidi="en-US"/>
        </w:rPr>
        <w:t xml:space="preserve"> Biochemical characterization of purified TBEV preparation 1 (</w:t>
      </w:r>
      <w:r w:rsidRPr="008D613B">
        <w:rPr>
          <w:rFonts w:ascii="Palatino Linotype" w:eastAsia="Times New Roman" w:hAnsi="Palatino Linotype" w:cs="Times New Roman"/>
          <w:b/>
          <w:snapToGrid w:val="0"/>
          <w:color w:val="000000"/>
          <w:sz w:val="18"/>
          <w:szCs w:val="18"/>
          <w:lang w:val="en-GB" w:bidi="en-US"/>
        </w:rPr>
        <w:t>a</w:t>
      </w:r>
      <w:r w:rsidRPr="008D613B">
        <w:rPr>
          <w:rFonts w:ascii="Palatino Linotype" w:eastAsia="Times New Roman" w:hAnsi="Palatino Linotype" w:cs="Times New Roman"/>
          <w:snapToGrid w:val="0"/>
          <w:color w:val="000000"/>
          <w:sz w:val="18"/>
          <w:szCs w:val="18"/>
          <w:lang w:val="en-GB" w:bidi="en-US"/>
        </w:rPr>
        <w:t xml:space="preserve">) SDS-PAGE analysis of the purified TBEV preparation 1 after UV inactivation. Lane 1 shows the TBEV preparation, lane 2 the molecular size marker. The TBEV protein bands and the sizes of the molecular size marker </w:t>
      </w:r>
      <w:proofErr w:type="gramStart"/>
      <w:r w:rsidRPr="008D613B">
        <w:rPr>
          <w:rFonts w:ascii="Palatino Linotype" w:eastAsia="Times New Roman" w:hAnsi="Palatino Linotype" w:cs="Times New Roman"/>
          <w:snapToGrid w:val="0"/>
          <w:color w:val="000000"/>
          <w:sz w:val="18"/>
          <w:szCs w:val="18"/>
          <w:lang w:val="en-GB" w:bidi="en-US"/>
        </w:rPr>
        <w:t>are indicated</w:t>
      </w:r>
      <w:proofErr w:type="gramEnd"/>
      <w:r w:rsidRPr="008D613B">
        <w:rPr>
          <w:rFonts w:ascii="Palatino Linotype" w:eastAsia="Times New Roman" w:hAnsi="Palatino Linotype" w:cs="Times New Roman"/>
          <w:snapToGrid w:val="0"/>
          <w:color w:val="000000"/>
          <w:sz w:val="18"/>
          <w:szCs w:val="18"/>
          <w:lang w:val="en-GB" w:bidi="en-US"/>
        </w:rPr>
        <w:t>. (</w:t>
      </w:r>
      <w:r w:rsidRPr="008D613B">
        <w:rPr>
          <w:rFonts w:ascii="Palatino Linotype" w:eastAsia="Times New Roman" w:hAnsi="Palatino Linotype" w:cs="Times New Roman"/>
          <w:b/>
          <w:snapToGrid w:val="0"/>
          <w:color w:val="000000"/>
          <w:sz w:val="18"/>
          <w:szCs w:val="18"/>
          <w:lang w:val="en-GB" w:bidi="en-US"/>
        </w:rPr>
        <w:t>b</w:t>
      </w:r>
      <w:r w:rsidRPr="008D613B">
        <w:rPr>
          <w:rFonts w:ascii="Palatino Linotype" w:eastAsia="Times New Roman" w:hAnsi="Palatino Linotype" w:cs="Times New Roman"/>
          <w:snapToGrid w:val="0"/>
          <w:color w:val="000000"/>
          <w:sz w:val="18"/>
          <w:szCs w:val="18"/>
          <w:lang w:val="en-GB" w:bidi="en-US"/>
        </w:rPr>
        <w:t xml:space="preserve">) Anti-E and anti-M immunoblot analysis of the purified TBEV preparation 1 after UV inactivation. Lane 1 shows the TBEV preparation, lane 2 the molecular size marker. The E and M protein bands and the sizes of the molecular size marker </w:t>
      </w:r>
      <w:proofErr w:type="gramStart"/>
      <w:r w:rsidRPr="008D613B">
        <w:rPr>
          <w:rFonts w:ascii="Palatino Linotype" w:eastAsia="Times New Roman" w:hAnsi="Palatino Linotype" w:cs="Times New Roman"/>
          <w:snapToGrid w:val="0"/>
          <w:color w:val="000000"/>
          <w:sz w:val="18"/>
          <w:szCs w:val="18"/>
          <w:lang w:val="en-GB" w:bidi="en-US"/>
        </w:rPr>
        <w:t>are indicated</w:t>
      </w:r>
      <w:proofErr w:type="gramEnd"/>
      <w:r w:rsidRPr="008D613B">
        <w:rPr>
          <w:rFonts w:ascii="Palatino Linotype" w:eastAsia="Times New Roman" w:hAnsi="Palatino Linotype" w:cs="Times New Roman"/>
          <w:snapToGrid w:val="0"/>
          <w:color w:val="000000"/>
          <w:sz w:val="18"/>
          <w:szCs w:val="18"/>
          <w:lang w:val="en-GB" w:bidi="en-US"/>
        </w:rPr>
        <w:t>.</w:t>
      </w:r>
    </w:p>
    <w:p w:rsidR="008D613B" w:rsidRPr="008D613B" w:rsidRDefault="008D613B" w:rsidP="008D613B">
      <w:pPr>
        <w:adjustRightInd w:val="0"/>
        <w:snapToGrid w:val="0"/>
        <w:spacing w:before="240" w:after="120" w:line="228" w:lineRule="auto"/>
        <w:ind w:left="2608"/>
        <w:jc w:val="both"/>
        <w:rPr>
          <w:rFonts w:ascii="Palatino Linotype" w:eastAsia="Times New Roman" w:hAnsi="Palatino Linotype" w:cs="Times New Roman"/>
          <w:sz w:val="18"/>
          <w:szCs w:val="18"/>
          <w:lang w:val="en-GB" w:bidi="en-US"/>
        </w:rPr>
      </w:pPr>
    </w:p>
    <w:p w:rsidR="008D613B" w:rsidRPr="008D613B" w:rsidRDefault="008D613B" w:rsidP="008D613B">
      <w:pPr>
        <w:adjustRightInd w:val="0"/>
        <w:snapToGrid w:val="0"/>
        <w:spacing w:before="240" w:after="120" w:line="228" w:lineRule="auto"/>
        <w:ind w:left="2608"/>
        <w:jc w:val="both"/>
        <w:rPr>
          <w:rFonts w:ascii="Palatino Linotype" w:eastAsia="SimSun" w:hAnsi="Palatino Linotype" w:cs="Times New Roman"/>
          <w:noProof/>
          <w:color w:val="000000"/>
          <w:sz w:val="18"/>
          <w:szCs w:val="18"/>
          <w:lang w:val="en-GB" w:eastAsia="zh-CN"/>
        </w:rPr>
      </w:pPr>
      <w:r w:rsidRPr="008D613B">
        <w:rPr>
          <w:rFonts w:ascii="Palatino Linotype" w:eastAsia="SimSun" w:hAnsi="Palatino Linotype" w:cs="Times New Roman"/>
          <w:b/>
          <w:noProof/>
          <w:color w:val="000000"/>
          <w:sz w:val="18"/>
          <w:szCs w:val="18"/>
          <w:lang w:val="en-GB" w:eastAsia="zh-CN"/>
        </w:rPr>
        <w:t>Figure S2</w:t>
      </w:r>
      <w:r w:rsidRPr="008D613B">
        <w:rPr>
          <w:rFonts w:ascii="Palatino Linotype" w:eastAsia="SimSun" w:hAnsi="Palatino Linotype" w:cs="Times New Roman"/>
          <w:noProof/>
          <w:color w:val="000000"/>
          <w:sz w:val="18"/>
          <w:szCs w:val="18"/>
          <w:lang w:val="en-GB" w:eastAsia="zh-CN"/>
        </w:rPr>
        <w:t xml:space="preserve"> Cryo-EM reconstruction workflow (</w:t>
      </w:r>
      <w:r w:rsidRPr="008D613B">
        <w:rPr>
          <w:rFonts w:ascii="Palatino Linotype" w:eastAsia="SimSun" w:hAnsi="Palatino Linotype" w:cs="Times New Roman"/>
          <w:b/>
          <w:noProof/>
          <w:color w:val="000000"/>
          <w:sz w:val="18"/>
          <w:szCs w:val="18"/>
          <w:lang w:val="en-GB" w:eastAsia="zh-CN"/>
        </w:rPr>
        <w:t>a</w:t>
      </w:r>
      <w:r w:rsidRPr="008D613B">
        <w:rPr>
          <w:rFonts w:ascii="Palatino Linotype" w:eastAsia="SimSun" w:hAnsi="Palatino Linotype" w:cs="Times New Roman"/>
          <w:noProof/>
          <w:color w:val="000000"/>
          <w:sz w:val="18"/>
          <w:szCs w:val="18"/>
          <w:lang w:val="en-GB" w:eastAsia="zh-CN"/>
        </w:rPr>
        <w:t>) Representative cryo-EM micrographs of purified TBEV virions from the three preparations. Intact virions are indicated with black arrows and disturbed virions with white arrows. The length of the scale bars  is 100 nm. (</w:t>
      </w:r>
      <w:r w:rsidRPr="008D613B">
        <w:rPr>
          <w:rFonts w:ascii="Palatino Linotype" w:eastAsia="SimSun" w:hAnsi="Palatino Linotype" w:cs="Times New Roman"/>
          <w:b/>
          <w:noProof/>
          <w:color w:val="000000"/>
          <w:sz w:val="18"/>
          <w:szCs w:val="18"/>
          <w:lang w:val="en-GB" w:eastAsia="zh-CN"/>
        </w:rPr>
        <w:t>b</w:t>
      </w:r>
      <w:r w:rsidRPr="008D613B">
        <w:rPr>
          <w:rFonts w:ascii="Palatino Linotype" w:eastAsia="SimSun" w:hAnsi="Palatino Linotype" w:cs="Times New Roman"/>
          <w:noProof/>
          <w:color w:val="000000"/>
          <w:sz w:val="18"/>
          <w:szCs w:val="18"/>
          <w:lang w:val="en-GB" w:eastAsia="zh-CN"/>
        </w:rPr>
        <w:t>) Representative 2D class averages of the three datasets. 2D classification was performed in Relion 3.1 (</w:t>
      </w:r>
      <w:r w:rsidRPr="008D613B">
        <w:rPr>
          <w:rFonts w:ascii="Palatino Linotype" w:eastAsia="SimSun" w:hAnsi="Palatino Linotype" w:cs="Times New Roman"/>
          <w:b/>
          <w:noProof/>
          <w:color w:val="000000"/>
          <w:sz w:val="18"/>
          <w:szCs w:val="18"/>
          <w:lang w:val="en-GB" w:eastAsia="zh-CN"/>
        </w:rPr>
        <w:t>c</w:t>
      </w:r>
      <w:r w:rsidRPr="008D613B">
        <w:rPr>
          <w:rFonts w:ascii="Palatino Linotype" w:eastAsia="SimSun" w:hAnsi="Palatino Linotype" w:cs="Times New Roman"/>
          <w:noProof/>
          <w:color w:val="000000"/>
          <w:sz w:val="18"/>
          <w:szCs w:val="18"/>
          <w:lang w:val="en-GB" w:eastAsia="zh-CN"/>
        </w:rPr>
        <w:t>) Reconstructions of the three separate datasets shown as surface views. The global resolutions of the maps (FSC 0.143 criterion), and the number of particles used in the reconstructions are indicated. 3D classification, refinement, and FSC calculations were performed in Relion 3.1. The maps are shown at 2.9 σ above the mean. (</w:t>
      </w:r>
      <w:r w:rsidRPr="008D613B">
        <w:rPr>
          <w:rFonts w:ascii="Palatino Linotype" w:eastAsia="SimSun" w:hAnsi="Palatino Linotype" w:cs="Times New Roman"/>
          <w:b/>
          <w:noProof/>
          <w:color w:val="000000"/>
          <w:sz w:val="18"/>
          <w:szCs w:val="18"/>
          <w:lang w:val="en-GB" w:eastAsia="zh-CN"/>
        </w:rPr>
        <w:t>d</w:t>
      </w:r>
      <w:r w:rsidRPr="008D613B">
        <w:rPr>
          <w:rFonts w:ascii="Palatino Linotype" w:eastAsia="SimSun" w:hAnsi="Palatino Linotype" w:cs="Times New Roman"/>
          <w:noProof/>
          <w:color w:val="000000"/>
          <w:sz w:val="18"/>
          <w:szCs w:val="18"/>
          <w:lang w:val="en-GB" w:eastAsia="zh-CN"/>
        </w:rPr>
        <w:t>) Final map of the combined reconstruction shown as a surface view. The number of particles used in the reconstruction are indicated. The FSC plot of the combined dataset map is shown with the FSC 0.143 cut-off, and the final resolution indicated. Refinement and FSC calculations were performed in Relion 3.1. The map is shown at 2.9 σ above the mean.</w:t>
      </w:r>
    </w:p>
    <w:p w:rsidR="008D613B" w:rsidRPr="008D613B" w:rsidRDefault="008D613B" w:rsidP="008D613B">
      <w:pPr>
        <w:adjustRightInd w:val="0"/>
        <w:snapToGrid w:val="0"/>
        <w:spacing w:before="240" w:after="120" w:line="228" w:lineRule="auto"/>
        <w:ind w:left="2608"/>
        <w:jc w:val="both"/>
        <w:rPr>
          <w:rFonts w:ascii="Palatino Linotype" w:eastAsia="Times New Roman" w:hAnsi="Palatino Linotype" w:cs="Times New Roman"/>
          <w:sz w:val="18"/>
          <w:szCs w:val="18"/>
          <w:lang w:val="en-GB" w:bidi="en-US"/>
        </w:rPr>
      </w:pPr>
    </w:p>
    <w:p w:rsidR="008D613B" w:rsidRDefault="008D613B" w:rsidP="008D613B">
      <w:pPr>
        <w:adjustRightInd w:val="0"/>
        <w:snapToGrid w:val="0"/>
        <w:spacing w:before="240" w:after="120" w:line="228" w:lineRule="auto"/>
        <w:ind w:left="2608"/>
        <w:jc w:val="both"/>
        <w:rPr>
          <w:rFonts w:ascii="Palatino Linotype" w:eastAsia="SimSun" w:hAnsi="Palatino Linotype" w:cs="Times New Roman"/>
          <w:noProof/>
          <w:color w:val="000000"/>
          <w:sz w:val="18"/>
          <w:szCs w:val="18"/>
          <w:lang w:val="en-GB" w:eastAsia="zh-CN"/>
        </w:rPr>
      </w:pPr>
      <w:r w:rsidRPr="008D613B">
        <w:rPr>
          <w:rFonts w:ascii="Palatino Linotype" w:eastAsia="Times New Roman" w:hAnsi="Palatino Linotype" w:cs="Times New Roman"/>
          <w:b/>
          <w:snapToGrid w:val="0"/>
          <w:color w:val="000000"/>
          <w:sz w:val="18"/>
          <w:szCs w:val="18"/>
          <w:lang w:val="en-GB" w:bidi="en-US"/>
        </w:rPr>
        <w:t>Figure S3</w:t>
      </w:r>
      <w:r w:rsidRPr="008D613B">
        <w:rPr>
          <w:rFonts w:ascii="Palatino Linotype" w:eastAsia="Times New Roman" w:hAnsi="Palatino Linotype" w:cs="Times New Roman"/>
          <w:snapToGrid w:val="0"/>
          <w:color w:val="000000"/>
          <w:sz w:val="18"/>
          <w:szCs w:val="18"/>
          <w:lang w:val="en-GB" w:bidi="en-US"/>
        </w:rPr>
        <w:t xml:space="preserve"> Local resolution of the final map (</w:t>
      </w:r>
      <w:r w:rsidRPr="008D613B">
        <w:rPr>
          <w:rFonts w:ascii="Palatino Linotype" w:eastAsia="Times New Roman" w:hAnsi="Palatino Linotype" w:cs="Times New Roman"/>
          <w:b/>
          <w:snapToGrid w:val="0"/>
          <w:color w:val="000000"/>
          <w:sz w:val="18"/>
          <w:szCs w:val="18"/>
          <w:lang w:val="en-GB" w:bidi="en-US"/>
        </w:rPr>
        <w:t>a</w:t>
      </w:r>
      <w:r w:rsidRPr="008D613B">
        <w:rPr>
          <w:rFonts w:ascii="Palatino Linotype" w:eastAsia="Times New Roman" w:hAnsi="Palatino Linotype" w:cs="Times New Roman"/>
          <w:snapToGrid w:val="0"/>
          <w:color w:val="000000"/>
          <w:sz w:val="18"/>
          <w:szCs w:val="18"/>
          <w:lang w:val="en-GB" w:bidi="en-US"/>
        </w:rPr>
        <w:t xml:space="preserve">) </w:t>
      </w:r>
      <w:proofErr w:type="spellStart"/>
      <w:r w:rsidRPr="008D613B">
        <w:rPr>
          <w:rFonts w:ascii="Palatino Linotype" w:eastAsia="Times New Roman" w:hAnsi="Palatino Linotype" w:cs="Times New Roman"/>
          <w:snapToGrid w:val="0"/>
          <w:color w:val="000000"/>
          <w:sz w:val="18"/>
          <w:szCs w:val="18"/>
          <w:lang w:val="en-GB" w:bidi="en-US"/>
        </w:rPr>
        <w:t>Isosurface</w:t>
      </w:r>
      <w:proofErr w:type="spellEnd"/>
      <w:r w:rsidRPr="008D613B">
        <w:rPr>
          <w:rFonts w:ascii="Palatino Linotype" w:eastAsia="Times New Roman" w:hAnsi="Palatino Linotype" w:cs="Times New Roman"/>
          <w:snapToGrid w:val="0"/>
          <w:color w:val="000000"/>
          <w:sz w:val="18"/>
          <w:szCs w:val="18"/>
          <w:lang w:val="en-GB" w:bidi="en-US"/>
        </w:rPr>
        <w:t xml:space="preserve"> representation of the final map coloured by local resolution calculated in </w:t>
      </w:r>
      <w:proofErr w:type="spellStart"/>
      <w:r w:rsidRPr="008D613B">
        <w:rPr>
          <w:rFonts w:ascii="Palatino Linotype" w:eastAsia="Times New Roman" w:hAnsi="Palatino Linotype" w:cs="Times New Roman"/>
          <w:snapToGrid w:val="0"/>
          <w:color w:val="000000"/>
          <w:sz w:val="18"/>
          <w:szCs w:val="18"/>
          <w:lang w:val="en-GB" w:bidi="en-US"/>
        </w:rPr>
        <w:t>Relion</w:t>
      </w:r>
      <w:proofErr w:type="spellEnd"/>
      <w:r w:rsidRPr="008D613B">
        <w:rPr>
          <w:rFonts w:ascii="Palatino Linotype" w:eastAsia="Times New Roman" w:hAnsi="Palatino Linotype" w:cs="Times New Roman"/>
          <w:snapToGrid w:val="0"/>
          <w:color w:val="000000"/>
          <w:sz w:val="18"/>
          <w:szCs w:val="18"/>
          <w:lang w:val="en-GB" w:bidi="en-US"/>
        </w:rPr>
        <w:t xml:space="preserve"> 3.1. The two, three, and five-fold symmetry axes are indicated by an ellipse, a triangle, and by stars, respectively</w:t>
      </w:r>
      <w:r w:rsidRPr="008D613B">
        <w:rPr>
          <w:rFonts w:ascii="Palatino Linotype" w:eastAsia="SimSun" w:hAnsi="Palatino Linotype" w:cs="Times New Roman"/>
          <w:noProof/>
          <w:color w:val="000000"/>
          <w:sz w:val="18"/>
          <w:szCs w:val="18"/>
          <w:lang w:val="en-GB" w:eastAsia="zh-CN"/>
        </w:rPr>
        <w:t xml:space="preserve"> (</w:t>
      </w:r>
      <w:r w:rsidRPr="008D613B">
        <w:rPr>
          <w:rFonts w:ascii="Palatino Linotype" w:eastAsia="SimSun" w:hAnsi="Palatino Linotype" w:cs="Times New Roman"/>
          <w:b/>
          <w:noProof/>
          <w:color w:val="000000"/>
          <w:sz w:val="18"/>
          <w:szCs w:val="18"/>
          <w:lang w:val="en-GB" w:eastAsia="zh-CN"/>
        </w:rPr>
        <w:t>b</w:t>
      </w:r>
      <w:r w:rsidRPr="008D613B">
        <w:rPr>
          <w:rFonts w:ascii="Palatino Linotype" w:eastAsia="SimSun" w:hAnsi="Palatino Linotype" w:cs="Times New Roman"/>
          <w:noProof/>
          <w:color w:val="000000"/>
          <w:sz w:val="18"/>
          <w:szCs w:val="18"/>
          <w:lang w:val="en-GB" w:eastAsia="zh-CN"/>
        </w:rPr>
        <w:t>) Isosurface representation of a central 60 Å slice of the final map coloured by local resolution calculated in Relion 3.1. The maps are shown at 2.35 σ above the mean.</w:t>
      </w:r>
    </w:p>
    <w:p w:rsidR="008D613B" w:rsidRDefault="008D613B" w:rsidP="008D613B">
      <w:pPr>
        <w:adjustRightInd w:val="0"/>
        <w:snapToGrid w:val="0"/>
        <w:spacing w:before="240" w:after="120" w:line="228" w:lineRule="auto"/>
        <w:ind w:left="2608"/>
        <w:jc w:val="both"/>
        <w:rPr>
          <w:rFonts w:ascii="Palatino Linotype" w:eastAsia="Times New Roman" w:hAnsi="Palatino Linotype" w:cs="Times New Roman"/>
          <w:sz w:val="18"/>
          <w:szCs w:val="18"/>
          <w:lang w:val="en-GB" w:bidi="en-US"/>
        </w:rPr>
      </w:pPr>
    </w:p>
    <w:p w:rsidR="009717B4" w:rsidRPr="009717B4" w:rsidRDefault="009717B4" w:rsidP="009717B4">
      <w:pPr>
        <w:adjustRightInd w:val="0"/>
        <w:snapToGrid w:val="0"/>
        <w:spacing w:before="240" w:after="120" w:line="228" w:lineRule="auto"/>
        <w:ind w:left="2608"/>
        <w:jc w:val="both"/>
        <w:rPr>
          <w:rFonts w:ascii="Palatino Linotype" w:eastAsia="Times New Roman" w:hAnsi="Palatino Linotype" w:cs="Times New Roman"/>
          <w:snapToGrid w:val="0"/>
          <w:color w:val="000000"/>
          <w:sz w:val="18"/>
          <w:szCs w:val="20"/>
          <w:lang w:val="en-GB" w:bidi="en-US"/>
        </w:rPr>
      </w:pPr>
      <w:r w:rsidRPr="009717B4">
        <w:rPr>
          <w:rFonts w:ascii="Palatino Linotype" w:eastAsia="Times New Roman" w:hAnsi="Palatino Linotype" w:cs="Times New Roman"/>
          <w:b/>
          <w:snapToGrid w:val="0"/>
          <w:color w:val="000000"/>
          <w:sz w:val="18"/>
          <w:szCs w:val="20"/>
          <w:lang w:val="en-GB" w:bidi="en-US"/>
        </w:rPr>
        <w:t>Figure S4</w:t>
      </w:r>
      <w:r w:rsidRPr="009717B4">
        <w:rPr>
          <w:rFonts w:ascii="Palatino Linotype" w:eastAsia="Times New Roman" w:hAnsi="Palatino Linotype" w:cs="Times New Roman"/>
          <w:snapToGrid w:val="0"/>
          <w:color w:val="000000"/>
          <w:sz w:val="18"/>
          <w:szCs w:val="20"/>
          <w:lang w:val="en-GB" w:bidi="en-US"/>
        </w:rPr>
        <w:t xml:space="preserve"> Comparison of M-H1 densities (</w:t>
      </w:r>
      <w:r w:rsidRPr="009717B4">
        <w:rPr>
          <w:rFonts w:ascii="Palatino Linotype" w:eastAsia="Times New Roman" w:hAnsi="Palatino Linotype" w:cs="Times New Roman"/>
          <w:b/>
          <w:snapToGrid w:val="0"/>
          <w:color w:val="000000"/>
          <w:sz w:val="18"/>
          <w:szCs w:val="20"/>
          <w:lang w:val="en-GB" w:bidi="en-US"/>
        </w:rPr>
        <w:t>a</w:t>
      </w:r>
      <w:r w:rsidRPr="009717B4">
        <w:rPr>
          <w:rFonts w:ascii="Palatino Linotype" w:eastAsia="Times New Roman" w:hAnsi="Palatino Linotype" w:cs="Times New Roman"/>
          <w:snapToGrid w:val="0"/>
          <w:color w:val="000000"/>
          <w:sz w:val="18"/>
          <w:szCs w:val="20"/>
          <w:lang w:val="en-GB" w:bidi="en-US"/>
        </w:rPr>
        <w:t xml:space="preserve">) Final locally sharpened map with M-H1 helices of chains F and D of the model shown. Residues Glu33, Thr37, and Lys40 of both chains </w:t>
      </w:r>
      <w:proofErr w:type="gramStart"/>
      <w:r w:rsidRPr="009717B4">
        <w:rPr>
          <w:rFonts w:ascii="Palatino Linotype" w:eastAsia="Times New Roman" w:hAnsi="Palatino Linotype" w:cs="Times New Roman"/>
          <w:snapToGrid w:val="0"/>
          <w:color w:val="000000"/>
          <w:sz w:val="18"/>
          <w:szCs w:val="20"/>
          <w:lang w:val="en-GB" w:bidi="en-US"/>
        </w:rPr>
        <w:t>are shown and labelled</w:t>
      </w:r>
      <w:proofErr w:type="gramEnd"/>
      <w:r w:rsidRPr="009717B4">
        <w:rPr>
          <w:rFonts w:ascii="Palatino Linotype" w:eastAsia="Times New Roman" w:hAnsi="Palatino Linotype" w:cs="Times New Roman"/>
          <w:snapToGrid w:val="0"/>
          <w:color w:val="000000"/>
          <w:sz w:val="18"/>
          <w:szCs w:val="20"/>
          <w:lang w:val="en-GB" w:bidi="en-US"/>
        </w:rPr>
        <w:t xml:space="preserve">. The map </w:t>
      </w:r>
      <w:proofErr w:type="gramStart"/>
      <w:r w:rsidRPr="009717B4">
        <w:rPr>
          <w:rFonts w:ascii="Palatino Linotype" w:eastAsia="Times New Roman" w:hAnsi="Palatino Linotype" w:cs="Times New Roman"/>
          <w:snapToGrid w:val="0"/>
          <w:color w:val="000000"/>
          <w:sz w:val="18"/>
          <w:szCs w:val="20"/>
          <w:lang w:val="en-GB" w:bidi="en-US"/>
        </w:rPr>
        <w:t>is shown</w:t>
      </w:r>
      <w:proofErr w:type="gramEnd"/>
      <w:r w:rsidRPr="009717B4">
        <w:rPr>
          <w:rFonts w:ascii="Palatino Linotype" w:eastAsia="Times New Roman" w:hAnsi="Palatino Linotype" w:cs="Times New Roman"/>
          <w:snapToGrid w:val="0"/>
          <w:color w:val="000000"/>
          <w:sz w:val="18"/>
          <w:szCs w:val="20"/>
          <w:lang w:val="en-GB" w:bidi="en-US"/>
        </w:rPr>
        <w:t xml:space="preserve"> at 2.2 σ above the mean. The view is from the outside of the </w:t>
      </w:r>
      <w:proofErr w:type="spellStart"/>
      <w:r w:rsidRPr="009717B4">
        <w:rPr>
          <w:rFonts w:ascii="Palatino Linotype" w:eastAsia="Times New Roman" w:hAnsi="Palatino Linotype" w:cs="Times New Roman"/>
          <w:snapToGrid w:val="0"/>
          <w:color w:val="000000"/>
          <w:sz w:val="18"/>
          <w:szCs w:val="20"/>
          <w:lang w:val="en-GB" w:bidi="en-US"/>
        </w:rPr>
        <w:t>virion</w:t>
      </w:r>
      <w:proofErr w:type="spellEnd"/>
      <w:r w:rsidRPr="009717B4">
        <w:rPr>
          <w:rFonts w:ascii="Palatino Linotype" w:eastAsia="Times New Roman" w:hAnsi="Palatino Linotype" w:cs="Times New Roman"/>
          <w:snapToGrid w:val="0"/>
          <w:color w:val="000000"/>
          <w:sz w:val="18"/>
          <w:szCs w:val="20"/>
          <w:lang w:val="en-GB" w:bidi="en-US"/>
        </w:rPr>
        <w:t xml:space="preserve"> towards the interior and the slice thickness is 25 Å. (</w:t>
      </w:r>
      <w:r w:rsidRPr="009717B4">
        <w:rPr>
          <w:rFonts w:ascii="Palatino Linotype" w:eastAsia="Times New Roman" w:hAnsi="Palatino Linotype" w:cs="Times New Roman"/>
          <w:b/>
          <w:snapToGrid w:val="0"/>
          <w:color w:val="000000"/>
          <w:sz w:val="18"/>
          <w:szCs w:val="20"/>
          <w:lang w:val="en-GB" w:bidi="en-US"/>
        </w:rPr>
        <w:t>b</w:t>
      </w:r>
      <w:r w:rsidRPr="009717B4">
        <w:rPr>
          <w:rFonts w:ascii="Palatino Linotype" w:eastAsia="Times New Roman" w:hAnsi="Palatino Linotype" w:cs="Times New Roman"/>
          <w:snapToGrid w:val="0"/>
          <w:color w:val="000000"/>
          <w:sz w:val="18"/>
          <w:szCs w:val="20"/>
          <w:lang w:val="en-GB" w:bidi="en-US"/>
        </w:rPr>
        <w:t>) Final</w:t>
      </w:r>
      <w:r w:rsidR="00FE426B">
        <w:rPr>
          <w:rFonts w:ascii="Palatino Linotype" w:eastAsia="Times New Roman" w:hAnsi="Palatino Linotype" w:cs="Times New Roman"/>
          <w:snapToGrid w:val="0"/>
          <w:color w:val="000000"/>
          <w:sz w:val="18"/>
          <w:szCs w:val="20"/>
          <w:lang w:val="en-GB" w:bidi="en-US"/>
        </w:rPr>
        <w:t xml:space="preserve"> minimally sharpened (B factor -</w:t>
      </w:r>
      <w:bookmarkStart w:id="0" w:name="_GoBack"/>
      <w:bookmarkEnd w:id="0"/>
      <w:r w:rsidRPr="009717B4">
        <w:rPr>
          <w:rFonts w:ascii="Palatino Linotype" w:eastAsia="Times New Roman" w:hAnsi="Palatino Linotype" w:cs="Times New Roman"/>
          <w:snapToGrid w:val="0"/>
          <w:color w:val="000000"/>
          <w:sz w:val="18"/>
          <w:szCs w:val="20"/>
          <w:lang w:val="en-GB" w:bidi="en-US"/>
        </w:rPr>
        <w:t>5 Å</w:t>
      </w:r>
      <w:r w:rsidRPr="009717B4">
        <w:rPr>
          <w:rFonts w:ascii="Palatino Linotype" w:eastAsia="Times New Roman" w:hAnsi="Palatino Linotype" w:cs="Times New Roman"/>
          <w:snapToGrid w:val="0"/>
          <w:color w:val="000000"/>
          <w:sz w:val="18"/>
          <w:szCs w:val="20"/>
          <w:vertAlign w:val="superscript"/>
          <w:lang w:val="en-GB" w:bidi="en-US"/>
        </w:rPr>
        <w:t>2</w:t>
      </w:r>
      <w:r w:rsidRPr="009717B4">
        <w:rPr>
          <w:rFonts w:ascii="Palatino Linotype" w:eastAsia="Times New Roman" w:hAnsi="Palatino Linotype" w:cs="Times New Roman"/>
          <w:snapToGrid w:val="0"/>
          <w:color w:val="000000"/>
          <w:sz w:val="18"/>
          <w:szCs w:val="20"/>
          <w:lang w:val="en-GB" w:bidi="en-US"/>
        </w:rPr>
        <w:t xml:space="preserve">) map with M-H1 helices of chains F and D of the model shown. Residues Glu33, Thr37, and Lys40 of both chains </w:t>
      </w:r>
      <w:proofErr w:type="gramStart"/>
      <w:r w:rsidRPr="009717B4">
        <w:rPr>
          <w:rFonts w:ascii="Palatino Linotype" w:eastAsia="Times New Roman" w:hAnsi="Palatino Linotype" w:cs="Times New Roman"/>
          <w:snapToGrid w:val="0"/>
          <w:color w:val="000000"/>
          <w:sz w:val="18"/>
          <w:szCs w:val="20"/>
          <w:lang w:val="en-GB" w:bidi="en-US"/>
        </w:rPr>
        <w:t>are shown and labelled</w:t>
      </w:r>
      <w:proofErr w:type="gramEnd"/>
      <w:r w:rsidRPr="009717B4">
        <w:rPr>
          <w:rFonts w:ascii="Palatino Linotype" w:eastAsia="Times New Roman" w:hAnsi="Palatino Linotype" w:cs="Times New Roman"/>
          <w:snapToGrid w:val="0"/>
          <w:color w:val="000000"/>
          <w:sz w:val="18"/>
          <w:szCs w:val="20"/>
          <w:lang w:val="en-GB" w:bidi="en-US"/>
        </w:rPr>
        <w:t xml:space="preserve">. The map </w:t>
      </w:r>
      <w:proofErr w:type="gramStart"/>
      <w:r w:rsidRPr="009717B4">
        <w:rPr>
          <w:rFonts w:ascii="Palatino Linotype" w:eastAsia="Times New Roman" w:hAnsi="Palatino Linotype" w:cs="Times New Roman"/>
          <w:snapToGrid w:val="0"/>
          <w:color w:val="000000"/>
          <w:sz w:val="18"/>
          <w:szCs w:val="20"/>
          <w:lang w:val="en-GB" w:bidi="en-US"/>
        </w:rPr>
        <w:t>is shown</w:t>
      </w:r>
      <w:proofErr w:type="gramEnd"/>
      <w:r w:rsidRPr="009717B4">
        <w:rPr>
          <w:rFonts w:ascii="Palatino Linotype" w:eastAsia="Times New Roman" w:hAnsi="Palatino Linotype" w:cs="Times New Roman"/>
          <w:snapToGrid w:val="0"/>
          <w:color w:val="000000"/>
          <w:sz w:val="18"/>
          <w:szCs w:val="20"/>
          <w:lang w:val="en-GB" w:bidi="en-US"/>
        </w:rPr>
        <w:t xml:space="preserve"> at 3.5 σ above the mean. The view and slice thickness is the same as in panel A. (</w:t>
      </w:r>
      <w:r w:rsidRPr="009717B4">
        <w:rPr>
          <w:rFonts w:ascii="Palatino Linotype" w:eastAsia="Times New Roman" w:hAnsi="Palatino Linotype" w:cs="Times New Roman"/>
          <w:b/>
          <w:snapToGrid w:val="0"/>
          <w:color w:val="000000"/>
          <w:sz w:val="18"/>
          <w:szCs w:val="20"/>
          <w:lang w:val="en-GB" w:bidi="en-US"/>
        </w:rPr>
        <w:t>c</w:t>
      </w:r>
      <w:r w:rsidRPr="009717B4">
        <w:rPr>
          <w:rFonts w:ascii="Palatino Linotype" w:eastAsia="Times New Roman" w:hAnsi="Palatino Linotype" w:cs="Times New Roman"/>
          <w:snapToGrid w:val="0"/>
          <w:color w:val="000000"/>
          <w:sz w:val="18"/>
          <w:szCs w:val="20"/>
          <w:lang w:val="en-GB" w:bidi="en-US"/>
        </w:rPr>
        <w:t>) Preparation 1 minimally sharpened (B factor –5 Å</w:t>
      </w:r>
      <w:r w:rsidRPr="009717B4">
        <w:rPr>
          <w:rFonts w:ascii="Palatino Linotype" w:eastAsia="Times New Roman" w:hAnsi="Palatino Linotype" w:cs="Times New Roman"/>
          <w:snapToGrid w:val="0"/>
          <w:color w:val="000000"/>
          <w:sz w:val="18"/>
          <w:szCs w:val="20"/>
          <w:vertAlign w:val="superscript"/>
          <w:lang w:val="en-GB" w:bidi="en-US"/>
        </w:rPr>
        <w:t>2</w:t>
      </w:r>
      <w:r w:rsidRPr="009717B4">
        <w:rPr>
          <w:rFonts w:ascii="Palatino Linotype" w:eastAsia="Times New Roman" w:hAnsi="Palatino Linotype" w:cs="Times New Roman"/>
          <w:snapToGrid w:val="0"/>
          <w:color w:val="000000"/>
          <w:sz w:val="18"/>
          <w:szCs w:val="20"/>
          <w:lang w:val="en-GB" w:bidi="en-US"/>
        </w:rPr>
        <w:t xml:space="preserve">). The map </w:t>
      </w:r>
      <w:proofErr w:type="gramStart"/>
      <w:r w:rsidRPr="009717B4">
        <w:rPr>
          <w:rFonts w:ascii="Palatino Linotype" w:eastAsia="Times New Roman" w:hAnsi="Palatino Linotype" w:cs="Times New Roman"/>
          <w:snapToGrid w:val="0"/>
          <w:color w:val="000000"/>
          <w:sz w:val="18"/>
          <w:szCs w:val="20"/>
          <w:lang w:val="en-GB" w:bidi="en-US"/>
        </w:rPr>
        <w:t>is shown</w:t>
      </w:r>
      <w:proofErr w:type="gramEnd"/>
      <w:r w:rsidRPr="009717B4">
        <w:rPr>
          <w:rFonts w:ascii="Palatino Linotype" w:eastAsia="Times New Roman" w:hAnsi="Palatino Linotype" w:cs="Times New Roman"/>
          <w:snapToGrid w:val="0"/>
          <w:color w:val="000000"/>
          <w:sz w:val="18"/>
          <w:szCs w:val="20"/>
          <w:lang w:val="en-GB" w:bidi="en-US"/>
        </w:rPr>
        <w:t xml:space="preserve"> at 3.5 σ above the mean. The view and slice thickness is the same as in panel A. (</w:t>
      </w:r>
      <w:r w:rsidRPr="009717B4">
        <w:rPr>
          <w:rFonts w:ascii="Palatino Linotype" w:eastAsia="Times New Roman" w:hAnsi="Palatino Linotype" w:cs="Times New Roman"/>
          <w:b/>
          <w:snapToGrid w:val="0"/>
          <w:color w:val="000000"/>
          <w:sz w:val="18"/>
          <w:szCs w:val="20"/>
          <w:lang w:val="en-GB" w:bidi="en-US"/>
        </w:rPr>
        <w:t>d</w:t>
      </w:r>
      <w:r w:rsidRPr="009717B4">
        <w:rPr>
          <w:rFonts w:ascii="Palatino Linotype" w:eastAsia="Times New Roman" w:hAnsi="Palatino Linotype" w:cs="Times New Roman"/>
          <w:snapToGrid w:val="0"/>
          <w:color w:val="000000"/>
          <w:sz w:val="18"/>
          <w:szCs w:val="20"/>
          <w:lang w:val="en-GB" w:bidi="en-US"/>
        </w:rPr>
        <w:t xml:space="preserve">) Previously-published TBEV map (EMDB-3752) and TBEV model (PDB-5o6a) with M-H1 helices of chains F and D of the model shown. Glu33, Thr37, and Arg40 of both chains </w:t>
      </w:r>
      <w:proofErr w:type="gramStart"/>
      <w:r w:rsidRPr="009717B4">
        <w:rPr>
          <w:rFonts w:ascii="Palatino Linotype" w:eastAsia="Times New Roman" w:hAnsi="Palatino Linotype" w:cs="Times New Roman"/>
          <w:snapToGrid w:val="0"/>
          <w:color w:val="000000"/>
          <w:sz w:val="18"/>
          <w:szCs w:val="20"/>
          <w:lang w:val="en-GB" w:bidi="en-US"/>
        </w:rPr>
        <w:t>are shown and labelled</w:t>
      </w:r>
      <w:proofErr w:type="gramEnd"/>
      <w:r w:rsidRPr="009717B4">
        <w:rPr>
          <w:rFonts w:ascii="Palatino Linotype" w:eastAsia="Times New Roman" w:hAnsi="Palatino Linotype" w:cs="Times New Roman"/>
          <w:snapToGrid w:val="0"/>
          <w:color w:val="000000"/>
          <w:sz w:val="18"/>
          <w:szCs w:val="20"/>
          <w:lang w:val="en-GB" w:bidi="en-US"/>
        </w:rPr>
        <w:t xml:space="preserve">. The map </w:t>
      </w:r>
      <w:proofErr w:type="gramStart"/>
      <w:r w:rsidRPr="009717B4">
        <w:rPr>
          <w:rFonts w:ascii="Palatino Linotype" w:eastAsia="Times New Roman" w:hAnsi="Palatino Linotype" w:cs="Times New Roman"/>
          <w:snapToGrid w:val="0"/>
          <w:color w:val="000000"/>
          <w:sz w:val="18"/>
          <w:szCs w:val="20"/>
          <w:lang w:val="en-GB" w:bidi="en-US"/>
        </w:rPr>
        <w:t>is shown</w:t>
      </w:r>
      <w:proofErr w:type="gramEnd"/>
      <w:r w:rsidRPr="009717B4">
        <w:rPr>
          <w:rFonts w:ascii="Palatino Linotype" w:eastAsia="Times New Roman" w:hAnsi="Palatino Linotype" w:cs="Times New Roman"/>
          <w:snapToGrid w:val="0"/>
          <w:color w:val="000000"/>
          <w:sz w:val="18"/>
          <w:szCs w:val="20"/>
          <w:lang w:val="en-GB" w:bidi="en-US"/>
        </w:rPr>
        <w:t xml:space="preserve"> at 2.5 σ above the mean and the reported sharpening B factor is –115 Å</w:t>
      </w:r>
      <w:r w:rsidRPr="009717B4">
        <w:rPr>
          <w:rFonts w:ascii="Palatino Linotype" w:eastAsia="Times New Roman" w:hAnsi="Palatino Linotype" w:cs="Times New Roman"/>
          <w:snapToGrid w:val="0"/>
          <w:color w:val="000000"/>
          <w:sz w:val="18"/>
          <w:szCs w:val="20"/>
          <w:vertAlign w:val="superscript"/>
          <w:lang w:val="en-GB" w:bidi="en-US"/>
        </w:rPr>
        <w:t>2</w:t>
      </w:r>
      <w:r w:rsidRPr="009717B4">
        <w:rPr>
          <w:rFonts w:ascii="Palatino Linotype" w:eastAsia="Times New Roman" w:hAnsi="Palatino Linotype" w:cs="Times New Roman"/>
          <w:snapToGrid w:val="0"/>
          <w:color w:val="000000"/>
          <w:sz w:val="18"/>
          <w:szCs w:val="20"/>
          <w:lang w:val="en-GB" w:bidi="en-US"/>
        </w:rPr>
        <w:t>). The view and slice thickness is the same as in panel A. (</w:t>
      </w:r>
      <w:r w:rsidRPr="009717B4">
        <w:rPr>
          <w:rFonts w:ascii="Palatino Linotype" w:eastAsia="Times New Roman" w:hAnsi="Palatino Linotype" w:cs="Times New Roman"/>
          <w:b/>
          <w:snapToGrid w:val="0"/>
          <w:color w:val="000000"/>
          <w:sz w:val="18"/>
          <w:szCs w:val="20"/>
          <w:lang w:val="en-GB" w:bidi="en-US"/>
        </w:rPr>
        <w:t>e</w:t>
      </w:r>
      <w:r w:rsidRPr="009717B4">
        <w:rPr>
          <w:rFonts w:ascii="Palatino Linotype" w:eastAsia="Times New Roman" w:hAnsi="Palatino Linotype" w:cs="Times New Roman"/>
          <w:snapToGrid w:val="0"/>
          <w:color w:val="000000"/>
          <w:sz w:val="18"/>
          <w:szCs w:val="20"/>
          <w:lang w:val="en-GB" w:bidi="en-US"/>
        </w:rPr>
        <w:t xml:space="preserve">) </w:t>
      </w:r>
      <w:proofErr w:type="gramStart"/>
      <w:r w:rsidRPr="009717B4">
        <w:rPr>
          <w:rFonts w:ascii="Palatino Linotype" w:eastAsia="Times New Roman" w:hAnsi="Palatino Linotype" w:cs="Times New Roman"/>
          <w:snapToGrid w:val="0"/>
          <w:color w:val="000000"/>
          <w:sz w:val="18"/>
          <w:szCs w:val="20"/>
          <w:lang w:val="en-GB" w:bidi="en-US"/>
        </w:rPr>
        <w:t>Previously-published</w:t>
      </w:r>
      <w:proofErr w:type="gramEnd"/>
      <w:r w:rsidRPr="009717B4">
        <w:rPr>
          <w:rFonts w:ascii="Palatino Linotype" w:eastAsia="Times New Roman" w:hAnsi="Palatino Linotype" w:cs="Times New Roman"/>
          <w:snapToGrid w:val="0"/>
          <w:color w:val="000000"/>
          <w:sz w:val="18"/>
          <w:szCs w:val="20"/>
          <w:lang w:val="en-GB" w:bidi="en-US"/>
        </w:rPr>
        <w:t xml:space="preserve"> USUV map (EMDB: 23273) and USUV model (PDB: 7lch) with M-H1 helices of chains F and D of the model shown. Glu33, Ile37, and Pro40 of both chains </w:t>
      </w:r>
      <w:proofErr w:type="gramStart"/>
      <w:r w:rsidRPr="009717B4">
        <w:rPr>
          <w:rFonts w:ascii="Palatino Linotype" w:eastAsia="Times New Roman" w:hAnsi="Palatino Linotype" w:cs="Times New Roman"/>
          <w:snapToGrid w:val="0"/>
          <w:color w:val="000000"/>
          <w:sz w:val="18"/>
          <w:szCs w:val="20"/>
          <w:lang w:val="en-GB" w:bidi="en-US"/>
        </w:rPr>
        <w:t>are shown and labelled</w:t>
      </w:r>
      <w:proofErr w:type="gramEnd"/>
      <w:r w:rsidRPr="009717B4">
        <w:rPr>
          <w:rFonts w:ascii="Palatino Linotype" w:eastAsia="Times New Roman" w:hAnsi="Palatino Linotype" w:cs="Times New Roman"/>
          <w:snapToGrid w:val="0"/>
          <w:color w:val="000000"/>
          <w:sz w:val="18"/>
          <w:szCs w:val="20"/>
          <w:lang w:val="en-GB" w:bidi="en-US"/>
        </w:rPr>
        <w:t xml:space="preserve">. The map is shown at </w:t>
      </w:r>
      <w:proofErr w:type="gramStart"/>
      <w:r w:rsidRPr="009717B4">
        <w:rPr>
          <w:rFonts w:ascii="Palatino Linotype" w:eastAsia="Times New Roman" w:hAnsi="Palatino Linotype" w:cs="Times New Roman"/>
          <w:snapToGrid w:val="0"/>
          <w:color w:val="000000"/>
          <w:sz w:val="18"/>
          <w:szCs w:val="20"/>
          <w:lang w:val="en-GB" w:bidi="en-US"/>
        </w:rPr>
        <w:t>3</w:t>
      </w:r>
      <w:proofErr w:type="gramEnd"/>
      <w:r w:rsidRPr="009717B4">
        <w:rPr>
          <w:rFonts w:ascii="Palatino Linotype" w:eastAsia="Times New Roman" w:hAnsi="Palatino Linotype" w:cs="Times New Roman"/>
          <w:snapToGrid w:val="0"/>
          <w:color w:val="000000"/>
          <w:sz w:val="18"/>
          <w:szCs w:val="20"/>
          <w:lang w:val="en-GB" w:bidi="en-US"/>
        </w:rPr>
        <w:t xml:space="preserve"> σ above the mean and the reported sharpening B factor is –70 Å</w:t>
      </w:r>
      <w:r w:rsidRPr="009717B4">
        <w:rPr>
          <w:rFonts w:ascii="Palatino Linotype" w:eastAsia="Times New Roman" w:hAnsi="Palatino Linotype" w:cs="Times New Roman"/>
          <w:snapToGrid w:val="0"/>
          <w:color w:val="000000"/>
          <w:sz w:val="18"/>
          <w:szCs w:val="20"/>
          <w:vertAlign w:val="superscript"/>
          <w:lang w:val="en-GB" w:bidi="en-US"/>
        </w:rPr>
        <w:t>2</w:t>
      </w:r>
      <w:r w:rsidRPr="009717B4">
        <w:rPr>
          <w:rFonts w:ascii="Palatino Linotype" w:eastAsia="Times New Roman" w:hAnsi="Palatino Linotype" w:cs="Times New Roman"/>
          <w:snapToGrid w:val="0"/>
          <w:color w:val="000000"/>
          <w:sz w:val="18"/>
          <w:szCs w:val="20"/>
          <w:lang w:val="en-GB" w:bidi="en-US"/>
        </w:rPr>
        <w:t>). The view and slice thickness is the same as in panel A.</w:t>
      </w:r>
    </w:p>
    <w:p w:rsidR="009717B4" w:rsidRPr="009717B4" w:rsidRDefault="009717B4" w:rsidP="009717B4">
      <w:pPr>
        <w:adjustRightInd w:val="0"/>
        <w:snapToGrid w:val="0"/>
        <w:spacing w:before="240" w:after="120" w:line="228" w:lineRule="auto"/>
        <w:ind w:left="2608"/>
        <w:jc w:val="both"/>
        <w:rPr>
          <w:rFonts w:ascii="Palatino Linotype" w:eastAsia="Times New Roman" w:hAnsi="Palatino Linotype" w:cs="Times New Roman"/>
          <w:snapToGrid w:val="0"/>
          <w:color w:val="000000"/>
          <w:sz w:val="18"/>
          <w:szCs w:val="20"/>
          <w:lang w:val="en-GB" w:bidi="en-US"/>
        </w:rPr>
      </w:pPr>
    </w:p>
    <w:p w:rsidR="008D613B" w:rsidRPr="008D613B" w:rsidRDefault="008D613B" w:rsidP="008D613B">
      <w:pPr>
        <w:adjustRightInd w:val="0"/>
        <w:snapToGrid w:val="0"/>
        <w:spacing w:before="240" w:after="120" w:line="228" w:lineRule="auto"/>
        <w:ind w:left="2608"/>
        <w:jc w:val="both"/>
        <w:rPr>
          <w:rFonts w:ascii="Palatino Linotype" w:eastAsia="Times New Roman" w:hAnsi="Palatino Linotype" w:cs="Times New Roman"/>
          <w:snapToGrid w:val="0"/>
          <w:color w:val="000000"/>
          <w:sz w:val="18"/>
          <w:szCs w:val="18"/>
          <w:lang w:val="en-GB" w:bidi="en-US"/>
        </w:rPr>
      </w:pPr>
    </w:p>
    <w:sectPr w:rsidR="008D613B" w:rsidRPr="008D613B">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42"/>
    <w:rsid w:val="00843846"/>
    <w:rsid w:val="008D613B"/>
    <w:rsid w:val="009717B4"/>
    <w:rsid w:val="00E22C42"/>
    <w:rsid w:val="00E53B32"/>
    <w:rsid w:val="00FE426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02062"/>
  <w15:chartTrackingRefBased/>
  <w15:docId w15:val="{16BFBE75-8449-4BE3-8B2E-3093A4A3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383</Words>
  <Characters>3103</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Pulkkinen, Lauri I A</dc:creator>
  <cp:keywords/>
  <dc:description/>
  <cp:lastModifiedBy>Pulkkinen, Lauri I A</cp:lastModifiedBy>
  <cp:revision>4</cp:revision>
  <dcterms:created xsi:type="dcterms:W3CDTF">2022-03-25T10:58:00Z</dcterms:created>
  <dcterms:modified xsi:type="dcterms:W3CDTF">2022-03-25T11:02:00Z</dcterms:modified>
</cp:coreProperties>
</file>